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7"/>
      </w:tblGrid>
      <w:tr w:rsidR="00C23410" w:rsidRPr="009B40AD" w:rsidTr="00DF05E1">
        <w:tc>
          <w:tcPr>
            <w:tcW w:w="4785" w:type="dxa"/>
          </w:tcPr>
          <w:p w:rsidR="00C23410" w:rsidRPr="009B40AD" w:rsidRDefault="00C23410" w:rsidP="00C23410">
            <w:pPr>
              <w:pStyle w:val="ab"/>
              <w:spacing w:before="0" w:after="0"/>
              <w:ind w:right="10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9B40AD">
              <w:rPr>
                <w:color w:val="000000"/>
                <w:sz w:val="28"/>
                <w:szCs w:val="28"/>
              </w:rPr>
              <w:t>ПРИНЯТО</w:t>
            </w:r>
          </w:p>
          <w:p w:rsidR="00C23410" w:rsidRPr="009B40AD" w:rsidRDefault="00C23410" w:rsidP="00C23410">
            <w:pPr>
              <w:pStyle w:val="a9"/>
              <w:tabs>
                <w:tab w:val="left" w:pos="14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на заседании</w:t>
            </w:r>
          </w:p>
          <w:p w:rsidR="00C23410" w:rsidRPr="009B40AD" w:rsidRDefault="00C23410" w:rsidP="00C23410">
            <w:pPr>
              <w:pStyle w:val="a9"/>
              <w:tabs>
                <w:tab w:val="left" w:pos="14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Управляющего совета</w:t>
            </w:r>
          </w:p>
          <w:p w:rsidR="00C23410" w:rsidRPr="009B40AD" w:rsidRDefault="00C23410" w:rsidP="00C23410">
            <w:pPr>
              <w:pStyle w:val="a9"/>
              <w:tabs>
                <w:tab w:val="left" w:pos="142"/>
              </w:tabs>
              <w:contextualSpacing/>
              <w:rPr>
                <w:color w:val="000000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Протокол № 1 от 08.10.2015</w:t>
            </w:r>
          </w:p>
        </w:tc>
        <w:tc>
          <w:tcPr>
            <w:tcW w:w="4786" w:type="dxa"/>
          </w:tcPr>
          <w:p w:rsidR="00C23410" w:rsidRPr="009B40AD" w:rsidRDefault="00C23410" w:rsidP="00C23410">
            <w:pPr>
              <w:pStyle w:val="a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УТВЕРЖДЕНО</w:t>
            </w:r>
          </w:p>
          <w:p w:rsidR="00C23410" w:rsidRPr="009B40AD" w:rsidRDefault="00C23410" w:rsidP="00C23410">
            <w:pPr>
              <w:pStyle w:val="a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приказом директора</w:t>
            </w:r>
          </w:p>
          <w:p w:rsidR="00C23410" w:rsidRPr="009B40AD" w:rsidRDefault="00C23410" w:rsidP="00C23410">
            <w:pPr>
              <w:pStyle w:val="a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 xml:space="preserve"> МАОУ «Лицей № 82»</w:t>
            </w:r>
          </w:p>
          <w:p w:rsidR="00C23410" w:rsidRPr="009B40AD" w:rsidRDefault="00C23410" w:rsidP="00C23410">
            <w:pPr>
              <w:pStyle w:val="ab"/>
              <w:spacing w:before="0" w:after="0"/>
              <w:ind w:right="100"/>
              <w:contextualSpacing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  <w:u w:val="single"/>
              </w:rPr>
              <w:t>№  256</w:t>
            </w:r>
            <w:r w:rsidRPr="009B40AD">
              <w:rPr>
                <w:rFonts w:eastAsia="Calibri"/>
                <w:sz w:val="28"/>
                <w:szCs w:val="28"/>
              </w:rPr>
              <w:t xml:space="preserve"> от </w:t>
            </w:r>
            <w:r w:rsidRPr="009B40AD">
              <w:rPr>
                <w:rFonts w:eastAsia="Calibri"/>
                <w:sz w:val="28"/>
                <w:szCs w:val="28"/>
                <w:u w:val="single"/>
              </w:rPr>
              <w:t>08.10. 2015</w:t>
            </w:r>
          </w:p>
        </w:tc>
      </w:tr>
    </w:tbl>
    <w:p w:rsidR="00136737" w:rsidRPr="00136737" w:rsidRDefault="00136737" w:rsidP="00C2341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</w:p>
    <w:p w:rsidR="00136737" w:rsidRPr="00136737" w:rsidRDefault="00136737" w:rsidP="00C23410">
      <w:pPr>
        <w:spacing w:after="0" w:line="240" w:lineRule="auto"/>
        <w:ind w:firstLine="62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36737" w:rsidRPr="00136737" w:rsidRDefault="00136737" w:rsidP="00C23410">
      <w:pPr>
        <w:spacing w:after="0" w:line="240" w:lineRule="auto"/>
        <w:ind w:firstLine="62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737" w:rsidRPr="00136737" w:rsidRDefault="00222E25" w:rsidP="00C2341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антикоррупционной политике</w:t>
      </w:r>
      <w:r w:rsidR="00136737" w:rsidRPr="0013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136737" w:rsidRDefault="00136737" w:rsidP="00C2341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737" w:rsidRPr="00A847F6" w:rsidRDefault="00A847F6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kern w:val="36"/>
          <w:sz w:val="28"/>
          <w:szCs w:val="28"/>
          <w:bdr w:val="none" w:sz="0" w:space="0" w:color="auto" w:frame="1"/>
        </w:rPr>
        <w:t>1.</w:t>
      </w:r>
      <w:r w:rsidR="00136737" w:rsidRPr="00A847F6">
        <w:rPr>
          <w:rFonts w:ascii="Times New Roman" w:hAnsi="Times New Roman" w:cs="Times New Roman"/>
          <w:b/>
          <w:iCs/>
          <w:kern w:val="36"/>
          <w:sz w:val="28"/>
          <w:szCs w:val="28"/>
          <w:bdr w:val="none" w:sz="0" w:space="0" w:color="auto" w:frame="1"/>
        </w:rPr>
        <w:t>Цели и задачи  внедрения антикоррупционной политики</w:t>
      </w:r>
    </w:p>
    <w:p w:rsidR="00136737" w:rsidRPr="00EB0B9D" w:rsidRDefault="0079638E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kern w:val="36"/>
          <w:sz w:val="28"/>
          <w:szCs w:val="28"/>
          <w:bdr w:val="none" w:sz="0" w:space="0" w:color="auto" w:frame="1"/>
        </w:rPr>
      </w:pPr>
      <w:r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МА</w:t>
      </w:r>
      <w:r w:rsidR="00136737"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ОУ </w:t>
      </w:r>
      <w:r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«Лицей №82»</w:t>
      </w:r>
      <w:r w:rsidR="00136737"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(далее по тексту - </w:t>
      </w:r>
      <w:r w:rsidR="00BA6861"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Лицей</w:t>
      </w:r>
      <w:r w:rsidR="00136737"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</w:t>
      </w:r>
      <w:r w:rsidRPr="00EB0B9D">
        <w:rPr>
          <w:rFonts w:ascii="Times New Roman" w:hAnsi="Times New Roman" w:cs="Times New Roman"/>
          <w:sz w:val="28"/>
          <w:szCs w:val="28"/>
        </w:rPr>
        <w:t>ФЗ - № 273  «Об образовании в Российской Федерации»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 ФЗ № 44 «О контрактной системе в сфере закупок товаров, работ, услуг для обеспечения государственных и муниципальных нужд», Устав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другие локальные акты.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сотрудничество организации с правоохранительными органами;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принятие кодекса этики и служебного поведения работников организации;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предотвращение и урегулирование конфликта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Антикоррупционная политика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</w:t>
      </w:r>
      <w:r w:rsidR="005433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авлена на реализацию данных мер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737" w:rsidRPr="00A847F6" w:rsidRDefault="00A847F6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136737" w:rsidRPr="00A847F6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в политике понятия и определения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Коррупция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Коррупцией также является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Организация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Контрагент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Взятка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Коммерческий подкуп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Конфликт интересов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деловой репутации организации, работником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(представителем организации) которой он является.</w:t>
      </w:r>
    </w:p>
    <w:p w:rsidR="00136737" w:rsidRPr="00543369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Личная заинтересованность работника (представителя организации)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kern w:val="36"/>
          <w:sz w:val="28"/>
          <w:szCs w:val="28"/>
          <w:bdr w:val="none" w:sz="0" w:space="0" w:color="auto" w:frame="1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iCs/>
          <w:kern w:val="36"/>
          <w:sz w:val="28"/>
          <w:szCs w:val="28"/>
          <w:bdr w:val="none" w:sz="0" w:space="0" w:color="auto" w:frame="1"/>
          <w:lang w:eastAsia="ru-RU"/>
        </w:rPr>
        <w:t>3.</w:t>
      </w:r>
      <w:r w:rsidRPr="00A847F6">
        <w:rPr>
          <w:rFonts w:ascii="Times New Roman" w:hAnsi="Times New Roman" w:cs="Times New Roman"/>
          <w:b/>
          <w:iCs/>
          <w:kern w:val="36"/>
          <w:sz w:val="28"/>
          <w:szCs w:val="28"/>
          <w:bdr w:val="none" w:sz="0" w:space="0" w:color="auto" w:frame="1"/>
          <w:lang w:eastAsia="ru-RU"/>
        </w:rPr>
        <w:t>Основные принципы антикоррупционной  деятельности организации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     Системы м</w:t>
      </w:r>
      <w:r w:rsidR="00BA6861"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ер противодействия коррупции в Л</w:t>
      </w:r>
      <w:r w:rsidRPr="00EB0B9D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ицее основываться на следующих ключевых принципах: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3.1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Принцип соответствия политики </w:t>
      </w:r>
      <w:r w:rsidR="00BA6861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Лицея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действующему законодательству и общепринятым нормам.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3.2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личного примера руководства.</w:t>
      </w:r>
    </w:p>
    <w:p w:rsidR="005B0B17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Ключевая роль руководства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вовлеченности работников.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Информированность работников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3.4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соразмерности антикоррупционных процедур риску коррупции.</w:t>
      </w:r>
    </w:p>
    <w:p w:rsidR="005B0B17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3.5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эффективности  антикоррупционных процедур.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Применение 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приносят значимый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3.6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ответственности и неотвратимости наказания.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Неотвратимость наказания для работников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реализацию внутриорганизационной антикоррупционной политики.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3.7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открытости </w:t>
      </w:r>
    </w:p>
    <w:p w:rsidR="005B0B17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Информирование контрагентов, партнеров и общественности о принятых 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антикоррупционных стандартах ведения деятельности.</w:t>
      </w:r>
    </w:p>
    <w:p w:rsidR="00136737" w:rsidRPr="00EB0B9D" w:rsidRDefault="005B0B1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="00136737"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 постоянного контроля и регулярного мониторинга.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исполнения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4. Область применения политики и круг лиц, попадающих под ее действие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 кругом лиц, попадающих под действие политики, являются работники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Лицею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основе гражданско-правовых договоров.  В этом случае соответствующие положения нужно включить в текст договоров.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b/>
          <w:sz w:val="28"/>
          <w:szCs w:val="28"/>
          <w:lang w:eastAsia="ru-RU"/>
        </w:rPr>
        <w:t>5.  Определение должностных лиц школы, ответственных за реализацию антикоррупционной  политики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заместитель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Задачи, функции и полномочия  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заместителя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директора в сфере противодействия коррупции определены его Должностной инструкцией.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обязанности  включают в частности: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разработку  локальных нормативных актов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проведение контрольных мероприятий, направленных на выявление коррупционных правонарушений работниками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организация проведения оценки коррупционных рисков;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иными лицами;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организация заполнения и рассмотрения деклараций о конфликте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вопросам предупреждения и противодействия коррупции;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  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проведение оценки результатов антикоррупционной работы и подготовка соответствующих отчетных материалов Учредителю.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Обязанности работников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связи с предупреждением и противодействием коррупции являются общими для всех сотрудников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воздерживаться от совершения и (или) участия в совершении коррупционных правонарушений в интересах или от имени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незамедлительно информировать директора, руководство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незамедлительно информировать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директора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 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руководство Лицея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ставшей известной  информации о случаях совершения коррупционных правонарушений другими работниками, контрагентами </w:t>
      </w:r>
      <w:r w:rsidR="00BA6861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иными лицами;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сообщить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директора,   руководство Лицея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возможности возникновения либо возникшем у работника конфликте интересов.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Лицей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могут  включаться права и обязанности работника и работодателя, установленные  данным локальным нормативным актом - «Антикоррупционная политика».</w:t>
      </w:r>
    </w:p>
    <w:p w:rsidR="00136737" w:rsidRPr="00543369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Общие и специальные обязанности рекомендуется включить в трудовой договор с работником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136737" w:rsidRPr="00A847F6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b/>
          <w:i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5829"/>
      </w:tblGrid>
      <w:tr w:rsidR="00136737" w:rsidRPr="00EB0B9D" w:rsidTr="00C23410">
        <w:trPr>
          <w:trHeight w:val="350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136737" w:rsidRPr="00EB0B9D" w:rsidTr="00C23410">
        <w:trPr>
          <w:trHeight w:val="350"/>
        </w:trPr>
        <w:tc>
          <w:tcPr>
            <w:tcW w:w="3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принятие антико</w:t>
            </w:r>
            <w:bookmarkStart w:id="0" w:name="_ftnref1"/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ррупционной политики </w:t>
            </w:r>
            <w:bookmarkEnd w:id="0"/>
            <w:r w:rsidR="00EB1A14"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</w:p>
        </w:tc>
      </w:tr>
      <w:tr w:rsidR="00136737" w:rsidRPr="00EB0B9D" w:rsidTr="00C2341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EB1A14"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Лицея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136737" w:rsidRPr="00EB0B9D" w:rsidTr="00C23410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136737" w:rsidRPr="00EB0B9D" w:rsidTr="00C23410">
        <w:trPr>
          <w:trHeight w:val="457"/>
        </w:trPr>
        <w:tc>
          <w:tcPr>
            <w:tcW w:w="3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EB1A14"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Лицея</w:t>
            </w: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</w:t>
            </w: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интересов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136737" w:rsidRPr="00EB0B9D" w:rsidTr="00C23410">
        <w:trPr>
          <w:trHeight w:val="457"/>
        </w:trPr>
        <w:tc>
          <w:tcPr>
            <w:tcW w:w="3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и информирование работников</w:t>
            </w: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36737" w:rsidRPr="00EB0B9D" w:rsidTr="00C23410">
        <w:trPr>
          <w:trHeight w:val="457"/>
        </w:trPr>
        <w:tc>
          <w:tcPr>
            <w:tcW w:w="3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соответствия системы внутреннего контроля и аудита </w:t>
            </w:r>
            <w:r w:rsidR="00EB1A14"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Лицея</w:t>
            </w: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требованиям антикоррупционной политики </w:t>
            </w:r>
            <w:r w:rsidR="00EB1A14"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Лицея</w:t>
            </w: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136737" w:rsidRPr="00EB0B9D" w:rsidTr="00C23410">
        <w:trPr>
          <w:trHeight w:val="457"/>
        </w:trPr>
        <w:tc>
          <w:tcPr>
            <w:tcW w:w="3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136737" w:rsidRPr="00EB0B9D" w:rsidTr="00C23410">
        <w:trPr>
          <w:trHeight w:val="457"/>
        </w:trPr>
        <w:tc>
          <w:tcPr>
            <w:tcW w:w="3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</w:t>
            </w: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правоохранительными органами в сфере противодействия коррупции</w:t>
            </w: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Оказание содействия уполномоченным </w:t>
            </w: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136737" w:rsidRPr="00EB0B9D" w:rsidTr="00C23410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737" w:rsidRPr="00EB0B9D" w:rsidRDefault="00136737" w:rsidP="00C2341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B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качестве   приложения к антикоррупционной политике 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ежегодно утверждается план реализации комплекса мер антикоррупционных мероприятий.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A847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</w:t>
      </w:r>
      <w:r w:rsidRPr="00A847F6">
        <w:rPr>
          <w:rFonts w:ascii="Times New Roman" w:hAnsi="Times New Roman" w:cs="Times New Roman"/>
          <w:b/>
          <w:sz w:val="28"/>
          <w:szCs w:val="28"/>
          <w:lang w:eastAsia="ru-RU"/>
        </w:rPr>
        <w:t>Оценка коррупционных рисков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оценки коррупционных рисков является определение конкретных  процессов и видов деятельности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 реализации которых наиболее высока вероятность совершения работниками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коррупционных 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правонарушений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 целях получения личной выгоды, так и в целях получения выгоды организацией.</w:t>
      </w:r>
    </w:p>
    <w:p w:rsidR="00136737" w:rsidRPr="005B0B17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EB1A14" w:rsidRPr="005B0B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5B0B1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Порядок проведения оценки коррупционных рисков: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представить деятельность организации в виде отдельных  процессов, в каждом из которых выделить составные элементы (</w:t>
      </w:r>
      <w:proofErr w:type="spell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подпроцессы</w:t>
      </w:r>
      <w:proofErr w:type="spell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выделить «критические точки» - для каждого  процесса и определить те элементы (</w:t>
      </w:r>
      <w:proofErr w:type="spell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подпроцессы</w:t>
      </w:r>
      <w:proofErr w:type="spell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Для каждого </w:t>
      </w:r>
      <w:proofErr w:type="spell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подпроцесса</w:t>
      </w:r>
      <w:proofErr w:type="spell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вероятные формы осуществления коррупционных платежей.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Разработать комплекс мер по устранению или минимизации коррупционных рисков. 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7F6">
        <w:rPr>
          <w:rFonts w:ascii="Times New Roman" w:hAnsi="Times New Roman" w:cs="Times New Roman"/>
          <w:b/>
          <w:sz w:val="28"/>
          <w:szCs w:val="28"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Своевременное выявление конфликта интересов в деятельности работников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одним из ключевых элементов предотвращения коррупционных правонарушений.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целью регулирования и предотвращения конфликта интересов в деятельности своих работников 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следует  принять Положение о конфликте интересов.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цели и задачи положения о конфликте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используемые в положении понятия и определения;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круг лиц, попадающих под действие положения;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основные принципы управления конфликтом интересов 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порядок раскрытия конфликта интересов работником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Лицея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порядок его урегулирования, в том числе возможные способы разрешения возникшего конфликта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обязанности работников в связи с раскрытием и урегулированием конфликта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определение лиц, ответственных за прием сведений о возникшем конфликте интересов и рассмотрение этих сведений;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ответственность работников за несоблюдение положения о конфликте интересов.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основу работы по управлению конфликтом интересов 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быть положены следующие принципы: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обязательность раскрытия сведений о реальном или потенциальном конфликте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индивидуальное рассмотрение и оценка </w:t>
      </w:r>
      <w:proofErr w:type="spell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репутационных</w:t>
      </w:r>
      <w:proofErr w:type="spell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рисков для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выявлении каждого конфликта интересов и его урегулирование;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конфиденциальность процесса раскрытия сведений о конфликте интересов и процесса его урегулирования;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   соблюдение баланса интересов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работника при урегулировании конфликта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Лицеем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 принятии решений по деловым вопросам и выполнении своих трудовых обязанностей руководствоваться интересами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избегать (по возможности) ситуаций и обстоятельств, которые могут привести к конфликту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раскрывать возникший (реальный) или потенциальный конфликт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содействовать урегулированию возникшего конфликта интересов.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Лицее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 установление различных видов раскрытия конфликта интересов, в том числе: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раскрытие сведений о конфликте интересов при приеме на работу;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раскрытие сведений о конфликте интересов при назначении на новую должность;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разовое раскрытие сведений по мере возникновения ситуаций конфликта интересов.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36737" w:rsidRPr="00EB0B9D" w:rsidRDefault="00EB1A14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Лицей</w:t>
      </w:r>
      <w:r w:rsidR="00136737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EB1A14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Лицея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рисков и выбора наиболее подходящей формы урегулирования конфликта интересов. Следует иметь в виду, что в итоге этой работы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Лицей может прий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Лицей также может прий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ограничение доступа работника к конкретной информации, которая может затрагивать личные интересы работника;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добровольный отказ работника Л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пересмотр и изменение функциональных обязанностей работника;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  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отказ работника от своего личного интереса, порождающего конфликт с интересами организации;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увольнение работника из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Лицея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инициативе работника;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Ответственными за прием сведений о возникающих (имеющихся) конфликтах интересов  являются 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заместитель директора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сотрудник кадровой службы,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 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директор. Рассмотрение полученной информации целесообразно проводить коллегиально</w:t>
      </w:r>
    </w:p>
    <w:p w:rsidR="00136737" w:rsidRPr="005B0B17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5B0B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C48BA" w:rsidRPr="005B0B17">
        <w:rPr>
          <w:rFonts w:ascii="Times New Roman" w:hAnsi="Times New Roman" w:cs="Times New Roman"/>
          <w:sz w:val="28"/>
          <w:szCs w:val="28"/>
          <w:lang w:eastAsia="ru-RU"/>
        </w:rPr>
        <w:t xml:space="preserve">Лицее </w:t>
      </w:r>
      <w:r w:rsidRPr="005B0B17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проводиться </w:t>
      </w:r>
      <w:proofErr w:type="gramStart"/>
      <w:r w:rsidRPr="005B0B17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работников </w:t>
      </w:r>
      <w:r w:rsidR="005B0B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0B17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proofErr w:type="gramEnd"/>
      <w:r w:rsidRPr="005B0B17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коррупция в государственном и частном секторах экономики (теоретическая);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юридическая ответственность за совершение коррупционных правонарушений;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   ознакомление с требованиями законодательства и внутренними документами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вопросам противодействия коррупции и порядком их применения в деятельности 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прикладная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выявление и разрешение конфликта интересов при выполнении трудовых обязанностей (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прикладная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   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взаимодействие с правоохранительными органами по вопросам профилактики и противодействия коррупции (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прикладная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Возможны следующие виды обучения: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по вопросам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136737" w:rsidRPr="005B0B17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17">
        <w:rPr>
          <w:rFonts w:ascii="Times New Roman" w:hAnsi="Times New Roman" w:cs="Times New Roman"/>
          <w:sz w:val="28"/>
          <w:szCs w:val="28"/>
          <w:lang w:eastAsia="ru-RU"/>
        </w:rPr>
        <w:t> Федеральным законом от 6 декабря 2011 г. № 402-ФЗ </w:t>
      </w:r>
      <w:r w:rsidRPr="005B0B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5B0B17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5B0B17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контроль документирования операций хозяйственной деятельности организации;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проверка экономической обоснованности осуществляемых операций в сферах коррупционного риска.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Контроль документирования операций хозяйственной </w:t>
      </w:r>
      <w:proofErr w:type="gramStart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End"/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C23410" w:rsidRDefault="00C23410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136737" w:rsidRPr="00A847F6" w:rsidRDefault="00136737" w:rsidP="00C23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A847F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9.Порядок пересмотра и внесения изменений в антикоррупционную политику организации</w:t>
      </w:r>
    </w:p>
    <w:p w:rsidR="00136737" w:rsidRPr="00EB0B9D" w:rsidRDefault="00136737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Данный локальный нормативный акт может быть пересмотрен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Управляющим Советом Лицея</w:t>
      </w:r>
      <w:r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 w:rsidR="00DC48BA" w:rsidRPr="00EB0B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81363" w:rsidRPr="00EB0B9D" w:rsidRDefault="00981363" w:rsidP="00C2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1363" w:rsidRPr="00EB0B9D" w:rsidSect="00C234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A3" w:rsidRDefault="008D1AA3" w:rsidP="00C23410">
      <w:pPr>
        <w:spacing w:after="0" w:line="240" w:lineRule="auto"/>
      </w:pPr>
      <w:r>
        <w:separator/>
      </w:r>
    </w:p>
  </w:endnote>
  <w:endnote w:type="continuationSeparator" w:id="0">
    <w:p w:rsidR="008D1AA3" w:rsidRDefault="008D1AA3" w:rsidP="00C2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49922"/>
      <w:docPartObj>
        <w:docPartGallery w:val="Page Numbers (Bottom of Page)"/>
        <w:docPartUnique/>
      </w:docPartObj>
    </w:sdtPr>
    <w:sdtContent>
      <w:p w:rsidR="00C23410" w:rsidRDefault="00C234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3410" w:rsidRDefault="00C2341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A3" w:rsidRDefault="008D1AA3" w:rsidP="00C23410">
      <w:pPr>
        <w:spacing w:after="0" w:line="240" w:lineRule="auto"/>
      </w:pPr>
      <w:r>
        <w:separator/>
      </w:r>
    </w:p>
  </w:footnote>
  <w:footnote w:type="continuationSeparator" w:id="0">
    <w:p w:rsidR="008D1AA3" w:rsidRDefault="008D1AA3" w:rsidP="00C2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8E9"/>
    <w:multiLevelType w:val="hybridMultilevel"/>
    <w:tmpl w:val="A3D0D982"/>
    <w:lvl w:ilvl="0" w:tplc="2F0071E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65"/>
    <w:rsid w:val="00107FE0"/>
    <w:rsid w:val="00136737"/>
    <w:rsid w:val="00147622"/>
    <w:rsid w:val="00222E25"/>
    <w:rsid w:val="003C4EAD"/>
    <w:rsid w:val="003F7806"/>
    <w:rsid w:val="00542165"/>
    <w:rsid w:val="00543369"/>
    <w:rsid w:val="005B0B17"/>
    <w:rsid w:val="0079638E"/>
    <w:rsid w:val="008D1AA3"/>
    <w:rsid w:val="00952D63"/>
    <w:rsid w:val="00981363"/>
    <w:rsid w:val="009A62C1"/>
    <w:rsid w:val="00A847F6"/>
    <w:rsid w:val="00B82755"/>
    <w:rsid w:val="00BA6861"/>
    <w:rsid w:val="00BB22F1"/>
    <w:rsid w:val="00C23410"/>
    <w:rsid w:val="00D43486"/>
    <w:rsid w:val="00DC48BA"/>
    <w:rsid w:val="00EA7AA6"/>
    <w:rsid w:val="00EB0B9D"/>
    <w:rsid w:val="00E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6737"/>
    <w:rPr>
      <w:b/>
      <w:bCs/>
    </w:rPr>
  </w:style>
  <w:style w:type="character" w:customStyle="1" w:styleId="apple-converted-space">
    <w:name w:val="apple-converted-space"/>
    <w:basedOn w:val="a0"/>
    <w:rsid w:val="00136737"/>
  </w:style>
  <w:style w:type="paragraph" w:styleId="a4">
    <w:name w:val="List Paragraph"/>
    <w:basedOn w:val="a"/>
    <w:uiPriority w:val="34"/>
    <w:qFormat/>
    <w:rsid w:val="0013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6737"/>
    <w:rPr>
      <w:i/>
      <w:iCs/>
    </w:rPr>
  </w:style>
  <w:style w:type="paragraph" w:customStyle="1" w:styleId="100">
    <w:name w:val="10"/>
    <w:basedOn w:val="a"/>
    <w:rsid w:val="0013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136737"/>
  </w:style>
  <w:style w:type="paragraph" w:styleId="a7">
    <w:name w:val="Balloon Text"/>
    <w:basedOn w:val="a"/>
    <w:link w:val="a8"/>
    <w:uiPriority w:val="99"/>
    <w:semiHidden/>
    <w:unhideWhenUsed/>
    <w:rsid w:val="0013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73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B827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2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nhideWhenUsed/>
    <w:rsid w:val="00C234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2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2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3410"/>
  </w:style>
  <w:style w:type="paragraph" w:styleId="af">
    <w:name w:val="footer"/>
    <w:basedOn w:val="a"/>
    <w:link w:val="af0"/>
    <w:uiPriority w:val="99"/>
    <w:unhideWhenUsed/>
    <w:rsid w:val="00C2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3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6737"/>
    <w:rPr>
      <w:b/>
      <w:bCs/>
    </w:rPr>
  </w:style>
  <w:style w:type="character" w:customStyle="1" w:styleId="apple-converted-space">
    <w:name w:val="apple-converted-space"/>
    <w:basedOn w:val="a0"/>
    <w:rsid w:val="00136737"/>
  </w:style>
  <w:style w:type="paragraph" w:styleId="a4">
    <w:name w:val="List Paragraph"/>
    <w:basedOn w:val="a"/>
    <w:uiPriority w:val="34"/>
    <w:qFormat/>
    <w:rsid w:val="0013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6737"/>
    <w:rPr>
      <w:i/>
      <w:iCs/>
    </w:rPr>
  </w:style>
  <w:style w:type="paragraph" w:customStyle="1" w:styleId="100">
    <w:name w:val="10"/>
    <w:basedOn w:val="a"/>
    <w:rsid w:val="0013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136737"/>
  </w:style>
  <w:style w:type="paragraph" w:styleId="a7">
    <w:name w:val="Balloon Text"/>
    <w:basedOn w:val="a"/>
    <w:link w:val="a8"/>
    <w:uiPriority w:val="99"/>
    <w:semiHidden/>
    <w:unhideWhenUsed/>
    <w:rsid w:val="0013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73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B827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2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nhideWhenUsed/>
    <w:rsid w:val="00C234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2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2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3410"/>
  </w:style>
  <w:style w:type="paragraph" w:styleId="af">
    <w:name w:val="footer"/>
    <w:basedOn w:val="a"/>
    <w:link w:val="af0"/>
    <w:uiPriority w:val="99"/>
    <w:unhideWhenUsed/>
    <w:rsid w:val="00C2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NG</cp:lastModifiedBy>
  <cp:revision>4</cp:revision>
  <cp:lastPrinted>2014-11-07T08:34:00Z</cp:lastPrinted>
  <dcterms:created xsi:type="dcterms:W3CDTF">2015-10-01T12:10:00Z</dcterms:created>
  <dcterms:modified xsi:type="dcterms:W3CDTF">2015-11-21T13:05:00Z</dcterms:modified>
</cp:coreProperties>
</file>